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培训人员承诺书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已充分阅读并理解《黑龙江省职业技能提升行动实施方案（2019—2021年）》（黑政办规〔2019〕12号）和《黑龙江省支持职业技能提升行动资金使用管理暂行办法》(黑财规审〔2019〕13号)的政策内容，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01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符合职业技能提升行动相关政策规定的培训对象条件，包括：贫困家庭子女、贫困劳动力、城乡未继续升学初高中毕业生、农村转移就业劳动者、下岗失业人员（含领取失业保险金期间的失业人员）和转岗职工、退役军人、毕业年度高校毕业生（含技师学院高级工班、预备技师班和特殊教育院校职业教育类毕业生）、距刑满释放不足一年的服刑人员、戒毒人员（含强制戒毒人员、社区戒毒社区康复人员）、残疾人和企业职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01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参加培训时，严格遵守考勤制度，按规定课程计划和教材完成培训；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01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培训结束后，参加结业考试或职业技能等级鉴定等，没有舞弊行为。考试合格的才能具备申请职业培训补贴的资格；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1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积极配合人社部门或其委托的第三方机构对培训过程进行监管；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1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申请职业培训补贴时所提交的材料真实、完整、有效，参加免费培训的，及时向培训主体提供相关材料；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1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如违反以上承诺事项或弄虚作假，违反规定获得的职业培训补贴自愿、及时退回，并承担相应违法违规责。如参加免费培训，由培训主体垫付培训费，培训人员违反规定而导致培训主体损失的，自愿支付培训主体垫付的培训费或按照与培训主体的约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附件：培训人员身份证复印件或社会保障卡复印件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培训人员签字: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70339"/>
    <w:rsid w:val="360820E7"/>
    <w:rsid w:val="69670339"/>
    <w:rsid w:val="73DC304F"/>
    <w:rsid w:val="7D0F7900"/>
    <w:rsid w:val="BBBB9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2019-10-31T14:33:00Z</dcterms:created>
  <dc:creator>～业余修理工～</dc:creator>
  <cp:lastModifiedBy>～业余修理工～</cp:lastModifiedBy>
  <cp:lastPrinted>2019-10-31T15:20:00Z</cp:lastPrinted>
  <dcterms:modified xsi:type="dcterms:W3CDTF">2020-12-12T08:29:20Z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